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7798D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1510D34D" w:rsidR="00B53A27" w:rsidRPr="00936D55" w:rsidRDefault="00B7798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Desarrollo Profesional Docente</w:t>
            </w:r>
          </w:p>
        </w:tc>
      </w:tr>
      <w:tr w:rsidR="00B7798D" w:rsidRPr="00936D55" w14:paraId="77CED2D0" w14:textId="77777777" w:rsidTr="00B7798D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B7798D" w:rsidRPr="00BD0258" w:rsidRDefault="00B7798D" w:rsidP="00B7798D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40607CD0" w:rsidR="00B7798D" w:rsidRPr="00936D55" w:rsidRDefault="00B7798D" w:rsidP="00B7798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Secretaría de Educación Pública y</w:t>
            </w:r>
            <w:r w:rsidRPr="00451D58">
              <w:t xml:space="preserve"> Cultura</w:t>
            </w:r>
          </w:p>
        </w:tc>
      </w:tr>
      <w:tr w:rsidR="00B7798D" w:rsidRPr="00936D55" w14:paraId="0D97458B" w14:textId="77777777" w:rsidTr="00B7798D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B7798D" w:rsidRPr="00BD0258" w:rsidRDefault="00B7798D" w:rsidP="00B7798D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18AEA424" w:rsidR="00B7798D" w:rsidRPr="00936D55" w:rsidRDefault="00F70484" w:rsidP="00B7798D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A34DF">
              <w:rPr>
                <w:rFonts w:cstheme="minorHAnsi"/>
              </w:rPr>
              <w:t>Coordinación Estatal de Formación Continua</w:t>
            </w:r>
          </w:p>
        </w:tc>
      </w:tr>
      <w:tr w:rsidR="00B7798D" w:rsidRPr="00936D55" w14:paraId="5D32DA8A" w14:textId="77777777" w:rsidTr="00B7798D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B7798D" w:rsidRPr="00BD0258" w:rsidRDefault="00B7798D" w:rsidP="00B7798D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4F86FE2F" w:rsidR="00B7798D" w:rsidRPr="00936D55" w:rsidRDefault="00B7798D" w:rsidP="00B7798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Específica de Desempeño</w:t>
            </w:r>
          </w:p>
        </w:tc>
      </w:tr>
      <w:tr w:rsidR="00B7798D" w:rsidRPr="00936D55" w14:paraId="5AC1B1FE" w14:textId="77777777" w:rsidTr="00B7798D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B7798D" w:rsidRPr="00BD0258" w:rsidRDefault="00B7798D" w:rsidP="00B7798D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08D2224D" w:rsidR="00B7798D" w:rsidRPr="00936D55" w:rsidRDefault="00B7798D" w:rsidP="00B7798D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7"/>
        <w:gridCol w:w="2752"/>
        <w:gridCol w:w="2294"/>
      </w:tblGrid>
      <w:tr w:rsidR="00BD0258" w:rsidRPr="00BD0258" w14:paraId="144EB42F" w14:textId="77777777" w:rsidTr="00E53A81">
        <w:trPr>
          <w:trHeight w:val="886"/>
          <w:tblHeader/>
        </w:trPr>
        <w:tc>
          <w:tcPr>
            <w:tcW w:w="194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7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2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294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E53A81" w:rsidRPr="00936D55" w14:paraId="3F02C46D" w14:textId="77777777" w:rsidTr="00E53A81">
        <w:tc>
          <w:tcPr>
            <w:tcW w:w="1941" w:type="dxa"/>
            <w:vAlign w:val="center"/>
          </w:tcPr>
          <w:p w14:paraId="70425297" w14:textId="27D32131" w:rsidR="00E53A81" w:rsidRPr="00936D55" w:rsidRDefault="00E53A81" w:rsidP="00E53A81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E53A81" w:rsidRPr="00D02A3D" w:rsidRDefault="00E53A81" w:rsidP="00E53A81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7" w:type="dxa"/>
            <w:vAlign w:val="center"/>
          </w:tcPr>
          <w:p w14:paraId="36CFBCCD" w14:textId="46A85A32" w:rsidR="00E53A81" w:rsidRPr="00936D55" w:rsidRDefault="00E53A81" w:rsidP="00E53A8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798D">
              <w:rPr>
                <w:rFonts w:asciiTheme="minorHAnsi" w:hAnsiTheme="minorHAnsi" w:cstheme="minorHAnsi"/>
                <w:sz w:val="20"/>
                <w:szCs w:val="20"/>
              </w:rPr>
              <w:t>Es recomendable priorizar la atención a los grupos a los que no se pudo llegar, con el objetivo de proponer una oferta más acorde a sus necesidades, tanto en temáticas como en modalidad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D7F9C3B" w14:textId="64FD4C6A" w:rsidR="00E53A81" w:rsidRDefault="00E53A81" w:rsidP="00E53A8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conocer las problemáticas a las que se enfrentan las figuras educativas, así como los aspectos de la práctica que requieren atención y consolidación, para ello se elabora un diagnóstico de necesidades mediante la aplicación de una o más herramientas de detección.</w:t>
            </w:r>
          </w:p>
          <w:p w14:paraId="5A8AE607" w14:textId="3C60C2A5" w:rsidR="00E53A81" w:rsidRPr="00D05CDC" w:rsidRDefault="00E53A81" w:rsidP="00E53A8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DA7876B" w14:textId="20005C8F" w:rsidR="00E53A81" w:rsidRPr="00D05CDC" w:rsidRDefault="00E53A81" w:rsidP="00E53A8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Implementar la Encuesta de Detección de Necesidades de Formación (EDNF), entrevistas al personal que visita a los centros de maestros, formación de grupos focales y uso de correo electrónico, WhatsApp y redes sociales, encuesta de valoración estatal, a fin de disponer de ofertas más acordes a las necesidades detectadas. </w:t>
            </w:r>
          </w:p>
        </w:tc>
      </w:tr>
      <w:tr w:rsidR="001C1825" w:rsidRPr="00936D55" w14:paraId="4D3DAD0C" w14:textId="77777777" w:rsidTr="00E53A81">
        <w:tc>
          <w:tcPr>
            <w:tcW w:w="194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7" w:type="dxa"/>
            <w:vAlign w:val="center"/>
          </w:tcPr>
          <w:p w14:paraId="07DCA505" w14:textId="0EAB6666" w:rsidR="00936D55" w:rsidRPr="00936D55" w:rsidRDefault="00B7798D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798D">
              <w:rPr>
                <w:rFonts w:asciiTheme="minorHAnsi" w:hAnsiTheme="minorHAnsi" w:cstheme="minorHAnsi"/>
                <w:sz w:val="20"/>
                <w:szCs w:val="20"/>
              </w:rPr>
              <w:t xml:space="preserve">Considerar la implementación de nuevas estrategias de difusión que permitan atraer a los docentes a los programas de formación, que los vean como una herramienta para facilitar su labor y fortalecer los aprendizajes en sus alumnos, promoviendo la ampliación de las oportunidades de mejora, y no sólo como un aumento de trabajo o </w:t>
            </w:r>
            <w:r w:rsidRPr="00B7798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una forma de obtener puntos para su carrera docente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6B3706E" w14:textId="17B020D2" w:rsidR="00936D55" w:rsidRPr="00D05CDC" w:rsidRDefault="00E53A81" w:rsidP="00DB51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 factible, </w:t>
            </w:r>
            <w:r w:rsidRPr="00E53A81">
              <w:rPr>
                <w:rFonts w:asciiTheme="minorHAnsi" w:hAnsiTheme="minorHAnsi" w:cstheme="minorHAnsi"/>
                <w:sz w:val="20"/>
                <w:szCs w:val="20"/>
              </w:rPr>
              <w:t>solicit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r w:rsidRPr="00E53A81">
              <w:rPr>
                <w:rFonts w:asciiTheme="minorHAnsi" w:hAnsiTheme="minorHAnsi" w:cstheme="minorHAnsi"/>
                <w:sz w:val="20"/>
                <w:szCs w:val="20"/>
              </w:rPr>
              <w:t xml:space="preserve"> el diseño de programas formativos totalmente nuevos, con base en las nece</w:t>
            </w:r>
            <w:r w:rsidR="00DB5163">
              <w:rPr>
                <w:rFonts w:asciiTheme="minorHAnsi" w:hAnsiTheme="minorHAnsi" w:cstheme="minorHAnsi"/>
                <w:sz w:val="20"/>
                <w:szCs w:val="20"/>
              </w:rPr>
              <w:t>sidades de formación detectadas; lo anterior,</w:t>
            </w:r>
            <w:r w:rsidRPr="00E53A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5163">
              <w:rPr>
                <w:rFonts w:asciiTheme="minorHAnsi" w:hAnsiTheme="minorHAnsi" w:cstheme="minorHAnsi"/>
                <w:sz w:val="20"/>
                <w:szCs w:val="20"/>
              </w:rPr>
              <w:t>para evitar</w:t>
            </w:r>
            <w:r w:rsidRPr="00E53A81">
              <w:rPr>
                <w:rFonts w:asciiTheme="minorHAnsi" w:hAnsiTheme="minorHAnsi" w:cstheme="minorHAnsi"/>
                <w:sz w:val="20"/>
                <w:szCs w:val="20"/>
              </w:rPr>
              <w:t xml:space="preserve"> la falta de registro de derecho de autor: requisito administrativo indispensable para su contratación.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CED0DF8" w14:textId="0497F181" w:rsidR="00936D55" w:rsidRPr="00D05CDC" w:rsidRDefault="00E53A81" w:rsidP="00B7798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53A81">
              <w:rPr>
                <w:rFonts w:asciiTheme="minorHAnsi" w:hAnsiTheme="minorHAnsi" w:cstheme="minorHAnsi"/>
                <w:sz w:val="20"/>
                <w:szCs w:val="20"/>
              </w:rPr>
              <w:t>onvocar a las Instituciones Formadoras con más anticipación para que alcancen a diseñar programas innovadores y asegurar que cuenten con todos los requisitos administrativos, al presentarlas ante el Comité Estatal de Formación Continua</w:t>
            </w:r>
          </w:p>
        </w:tc>
      </w:tr>
      <w:tr w:rsidR="001C1825" w:rsidRPr="00936D55" w14:paraId="6202F808" w14:textId="77777777" w:rsidTr="00E53A81">
        <w:tc>
          <w:tcPr>
            <w:tcW w:w="194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7" w:type="dxa"/>
            <w:vAlign w:val="center"/>
          </w:tcPr>
          <w:p w14:paraId="4C3DA5D5" w14:textId="56206EB8" w:rsidR="00B875B8" w:rsidRPr="00861D0A" w:rsidRDefault="00B7798D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798D">
              <w:rPr>
                <w:rFonts w:asciiTheme="minorHAnsi" w:hAnsiTheme="minorHAnsi" w:cstheme="minorHAnsi"/>
                <w:sz w:val="20"/>
                <w:szCs w:val="20"/>
              </w:rPr>
              <w:t>Es necesario proponer una plataforma que permita colocar los siguientes candados en los registros, como: permitir un solo registro (para evitar duplicidad en inscripciones y que seleccionen más de una oferta), dar seguimiento a la participación y cumplimiento de actividades propuestas; así se asegura una base de datos completa, valida y confiable, que permita evitar: omisión de algunos participantes, que no se realicen algunos cambios de estatus, inscripciones repetidas, datos incorrectos (en CURP y CCT), diferentes versiones de una misma bases de datos, entre otros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2C727E3" w14:textId="080F84C8" w:rsidR="00E53A81" w:rsidRPr="00CD71FF" w:rsidRDefault="00E53A81" w:rsidP="00E53A8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1FF">
              <w:rPr>
                <w:rFonts w:asciiTheme="minorHAnsi" w:hAnsiTheme="minorHAnsi" w:cstheme="minorHAnsi"/>
                <w:sz w:val="20"/>
                <w:szCs w:val="20"/>
              </w:rPr>
              <w:t>En la plataforma se considera</w:t>
            </w:r>
            <w:r w:rsidR="00CD71FF" w:rsidRPr="00CD71FF">
              <w:rPr>
                <w:rFonts w:asciiTheme="minorHAnsi" w:hAnsiTheme="minorHAnsi" w:cstheme="minorHAnsi"/>
                <w:sz w:val="20"/>
                <w:szCs w:val="20"/>
              </w:rPr>
              <w:t>rá</w:t>
            </w:r>
            <w:r w:rsidRPr="00CD71FF">
              <w:rPr>
                <w:rFonts w:asciiTheme="minorHAnsi" w:hAnsiTheme="minorHAnsi" w:cstheme="minorHAnsi"/>
                <w:sz w:val="20"/>
                <w:szCs w:val="20"/>
              </w:rPr>
              <w:t xml:space="preserve"> el siguiente mecanismo:</w:t>
            </w:r>
          </w:p>
          <w:p w14:paraId="2D51D348" w14:textId="51C3996F" w:rsidR="00E53A81" w:rsidRPr="00CD71FF" w:rsidRDefault="00E53A81" w:rsidP="00E53A81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1FF">
              <w:rPr>
                <w:rFonts w:asciiTheme="minorHAnsi" w:hAnsiTheme="minorHAnsi" w:cstheme="minorHAnsi"/>
                <w:sz w:val="20"/>
                <w:szCs w:val="20"/>
              </w:rPr>
              <w:t>Permitir un solo registro (para evitar duplicidad en inscripciones).</w:t>
            </w:r>
          </w:p>
          <w:p w14:paraId="37234441" w14:textId="0FF519D6" w:rsidR="00E53A81" w:rsidRPr="00CD71FF" w:rsidRDefault="00E53A81" w:rsidP="00E53A81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1FF">
              <w:rPr>
                <w:rFonts w:asciiTheme="minorHAnsi" w:hAnsiTheme="minorHAnsi" w:cstheme="minorHAnsi"/>
                <w:sz w:val="20"/>
                <w:szCs w:val="20"/>
              </w:rPr>
              <w:t>Tener precargada la CURP y CCT para evitar errores en el registro, aunque el CCT puede tener cambios.</w:t>
            </w:r>
          </w:p>
          <w:p w14:paraId="740FC487" w14:textId="7AF19A93" w:rsidR="00B875B8" w:rsidRPr="00CD71FF" w:rsidRDefault="00E53A81" w:rsidP="00E53A81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1FF">
              <w:rPr>
                <w:rFonts w:asciiTheme="minorHAnsi" w:hAnsiTheme="minorHAnsi" w:cstheme="minorHAnsi"/>
                <w:sz w:val="20"/>
                <w:szCs w:val="20"/>
              </w:rPr>
              <w:t>El área de sistemas es el encargado de su manejo y de compartir   (con algunos candados a excepción del estatus), la base de datos a las IF, Centros de Maestros, financieros, recursos materiales, entre otros.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BF35B51" w14:textId="0E0BDEE9" w:rsidR="00B875B8" w:rsidRPr="00CD71FF" w:rsidRDefault="00B7798D" w:rsidP="00E53A8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71FF">
              <w:rPr>
                <w:rFonts w:asciiTheme="minorHAnsi" w:hAnsiTheme="minorHAnsi" w:cstheme="minorHAnsi"/>
                <w:sz w:val="20"/>
                <w:szCs w:val="20"/>
              </w:rPr>
              <w:t>Proponer e implementar una plataforma que permita colocar candados en los registros para evitar duplicidad en la información y asegurar una base de datos completa, valida y confiable.</w:t>
            </w:r>
            <w:bookmarkStart w:id="1" w:name="_GoBack"/>
            <w:bookmarkEnd w:id="1"/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6B70820" w:rsidR="0041656F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="00F70484">
        <w:rPr>
          <w:rFonts w:asciiTheme="minorHAnsi" w:hAnsiTheme="minorHAnsi" w:cstheme="minorHAnsi"/>
          <w:sz w:val="20"/>
          <w:szCs w:val="24"/>
        </w:rPr>
        <w:t xml:space="preserve"> Específica 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p w14:paraId="66BFA9EF" w14:textId="77777777" w:rsidR="0041656F" w:rsidRDefault="0041656F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41656F">
        <w:trPr>
          <w:trHeight w:val="340"/>
        </w:trPr>
        <w:tc>
          <w:tcPr>
            <w:tcW w:w="9234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678E9BB9" w:rsidR="00B875B8" w:rsidRDefault="000A5352" w:rsidP="000A535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A5352">
        <w:rPr>
          <w:rFonts w:asciiTheme="minorHAnsi" w:hAnsiTheme="minorHAnsi" w:cstheme="minorHAnsi"/>
          <w:sz w:val="20"/>
          <w:szCs w:val="20"/>
        </w:rPr>
        <w:t>El programa ha cumplido con las metas establecidas e incluso han superado dichas metas, no por ser metas laxas, sino debido a que el presupuesto asignado se modificó; además, durante el desempeño en el ejercicio fiscal 2022, las políticas educativas cambiaron, por lo cual los avances de metas al cuarto trimestre se reportaron con +100%.</w:t>
      </w:r>
    </w:p>
    <w:p w14:paraId="64F8F7EC" w14:textId="75DED037" w:rsidR="000A5352" w:rsidRDefault="000A5352" w:rsidP="000A535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Pr="000A5352">
        <w:rPr>
          <w:rFonts w:asciiTheme="minorHAnsi" w:hAnsiTheme="minorHAnsi" w:cstheme="minorHAnsi"/>
          <w:sz w:val="20"/>
          <w:szCs w:val="20"/>
        </w:rPr>
        <w:t>l momento de diseñar la MIR 2022, se consideró como población objetivo a los beneficiarios con el recurso federal (del PRODEP); posteriormente, se determinó que se incluyera a beneficiarios también con el recurso estatal. Por lo tanto, al ajustar la población objetivo se amplía la oferta de formación continua, como consecuencia; además, se incorporó la opción de brindar los PFC de manera virtual (autogestiva), incrementando la cobertura de la población atendida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FE6BCDF" w14:textId="6839C68A" w:rsidR="000A5352" w:rsidRDefault="000A5352" w:rsidP="000A535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0A5352">
        <w:rPr>
          <w:rFonts w:asciiTheme="minorHAnsi" w:hAnsiTheme="minorHAnsi" w:cstheme="minorHAnsi"/>
          <w:sz w:val="20"/>
          <w:szCs w:val="20"/>
        </w:rPr>
        <w:t>s importante mencionar que la Unidad Responsable del programa eliminó el Componente 2 “Tutorías a Docentes y Técnicos Docentes (DTD) de Educación Básica de Escuelas Públicas de Sinaloa brindadas” a finales del segundo trimestre 2022; conforme al marco de normatividad establecida, se determinó que el PRODEP no se hará cargo de la formación continua de los tutores, ni de su administración, operación y seguimiento a las tutorías, los cuales serán atribución de la Unidad del Sistema para la Carrera de las Maestras y Maestros (USICAMM). Por lo anterior, se eliminaron también las actividades derivadas del Componente 2.</w:t>
      </w:r>
    </w:p>
    <w:p w14:paraId="0B828F00" w14:textId="13B765CA" w:rsidR="000A5352" w:rsidRDefault="000A5352" w:rsidP="000A535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A5352">
        <w:rPr>
          <w:rFonts w:asciiTheme="minorHAnsi" w:hAnsiTheme="minorHAnsi" w:cstheme="minorHAnsi"/>
          <w:sz w:val="20"/>
          <w:szCs w:val="20"/>
        </w:rPr>
        <w:t>El incremento al 531.49% de la población atendida, por el total de tipo de oferta según el origen del recurso, es atribuible a que se implementó en modalidad presencial, en línea, autogestiva, autogestiva con apoyo y presencial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3564C1F" w14:textId="4F0FC012" w:rsidR="000A5352" w:rsidRDefault="000A5352" w:rsidP="000A535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A5352">
        <w:rPr>
          <w:rFonts w:asciiTheme="minorHAnsi" w:hAnsiTheme="minorHAnsi" w:cstheme="minorHAnsi"/>
          <w:sz w:val="20"/>
          <w:szCs w:val="20"/>
        </w:rPr>
        <w:t>El PRODEP cumplió con las metas establecidas en los indicadores, además superó dichas metas en más de un 100%, todo a vez a que el presupuesto asignado se modificó y se incrementó a $15,470,556.64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A48628F" w14:textId="081D7A4B" w:rsidR="000A5352" w:rsidRDefault="000A5352" w:rsidP="000A535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A5352">
        <w:rPr>
          <w:rFonts w:asciiTheme="minorHAnsi" w:hAnsiTheme="minorHAnsi" w:cstheme="minorHAnsi"/>
          <w:sz w:val="20"/>
          <w:szCs w:val="20"/>
        </w:rPr>
        <w:t>Para el ejercicio fiscal 2022, el PRODEP contó con una población objetivo de 3,000 figuras educativas (la población objetivo se establece de acuerdo al recurso asignado), logrando atender a 34,798 figuras educativas en alrededor de los 18 municipios del Estado de Sinaloa, lo que representa a un 1159.93%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DE9335C" w14:textId="68875D33" w:rsidR="000A5352" w:rsidRPr="00ED12C1" w:rsidRDefault="000A5352" w:rsidP="000A535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0A5352">
        <w:rPr>
          <w:rFonts w:asciiTheme="minorHAnsi" w:hAnsiTheme="minorHAnsi" w:cstheme="minorHAnsi"/>
          <w:sz w:val="20"/>
          <w:szCs w:val="20"/>
        </w:rPr>
        <w:t>En lo que respecta a la cobertura de las figuras educativas con programas de formación continua por tipo de función, se obtuvo un 605.5% en docentes, 444.44% en los técnicos docentes, 533.18% en los directores, 482.58% en los asesores técnicos pedagógicos de las supervisiones escolares de los distintos niveles educativos (</w:t>
      </w:r>
      <w:proofErr w:type="spellStart"/>
      <w:r w:rsidRPr="000A5352">
        <w:rPr>
          <w:rFonts w:asciiTheme="minorHAnsi" w:hAnsiTheme="minorHAnsi" w:cstheme="minorHAnsi"/>
          <w:sz w:val="20"/>
          <w:szCs w:val="20"/>
        </w:rPr>
        <w:t>ATP’s</w:t>
      </w:r>
      <w:proofErr w:type="spellEnd"/>
      <w:r w:rsidRPr="000A5352">
        <w:rPr>
          <w:rFonts w:asciiTheme="minorHAnsi" w:hAnsiTheme="minorHAnsi" w:cstheme="minorHAnsi"/>
          <w:sz w:val="20"/>
          <w:szCs w:val="20"/>
        </w:rPr>
        <w:t>), 120% en los supervisores, 0% en los jefes de sector y un 531.49% del total de beneficiarios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7FF844D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CD71FF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4D5B3DE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CD71FF" w:rsidRPr="00CD71FF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0A5352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A5352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5352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720A"/>
    <w:multiLevelType w:val="hybridMultilevel"/>
    <w:tmpl w:val="569E7D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A5352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56F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87E84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7798D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C781A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D71FF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5163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3A81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0484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7CF14-421E-476F-A542-CD7DE2AF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1003</Words>
  <Characters>5517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13</cp:revision>
  <cp:lastPrinted>2021-10-18T17:24:00Z</cp:lastPrinted>
  <dcterms:created xsi:type="dcterms:W3CDTF">2022-12-15T17:02:00Z</dcterms:created>
  <dcterms:modified xsi:type="dcterms:W3CDTF">2023-10-12T17:06:00Z</dcterms:modified>
</cp:coreProperties>
</file>